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4E1" w:rsidRPr="00710B86" w:rsidRDefault="001104E1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10B86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FF134F" w:rsidRPr="00710B86" w:rsidRDefault="00FF134F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10B86">
        <w:rPr>
          <w:rFonts w:ascii="Times New Roman" w:hAnsi="Times New Roman" w:cs="Times New Roman"/>
          <w:b w:val="0"/>
          <w:sz w:val="28"/>
          <w:szCs w:val="28"/>
        </w:rPr>
        <w:t>Государственной программы развития образования в Республике Крым</w:t>
      </w:r>
    </w:p>
    <w:p w:rsidR="001104E1" w:rsidRPr="00710B86" w:rsidRDefault="001104E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10B86">
        <w:rPr>
          <w:rFonts w:ascii="Times New Roman" w:hAnsi="Times New Roman" w:cs="Times New Roman"/>
          <w:b w:val="0"/>
          <w:sz w:val="28"/>
          <w:szCs w:val="28"/>
        </w:rPr>
        <w:t>(далее - Программа)</w:t>
      </w:r>
    </w:p>
    <w:p w:rsidR="001104E1" w:rsidRPr="00FF134F" w:rsidRDefault="001104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6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02"/>
        <w:gridCol w:w="8363"/>
      </w:tblGrid>
      <w:tr w:rsidR="00FF134F" w:rsidRPr="00FF134F" w:rsidTr="00FF134F">
        <w:tc>
          <w:tcPr>
            <w:tcW w:w="2202" w:type="dxa"/>
          </w:tcPr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8363" w:type="dxa"/>
          </w:tcPr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Министерство образования, науки и молодежи Республики Крым</w:t>
            </w:r>
          </w:p>
        </w:tc>
      </w:tr>
      <w:tr w:rsidR="00FF134F" w:rsidRPr="00FF134F" w:rsidTr="00FF134F">
        <w:tc>
          <w:tcPr>
            <w:tcW w:w="2202" w:type="dxa"/>
          </w:tcPr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8363" w:type="dxa"/>
          </w:tcPr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Министерство строительства и архитектуры Республики Крым</w:t>
            </w:r>
          </w:p>
        </w:tc>
      </w:tr>
      <w:tr w:rsidR="00FF134F" w:rsidRPr="00FF134F" w:rsidTr="00FF134F">
        <w:tc>
          <w:tcPr>
            <w:tcW w:w="2202" w:type="dxa"/>
          </w:tcPr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Участники Программы</w:t>
            </w:r>
          </w:p>
        </w:tc>
        <w:tc>
          <w:tcPr>
            <w:tcW w:w="8363" w:type="dxa"/>
          </w:tcPr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Органы местного самоуправления муниципальных образований в Республике Крым</w:t>
            </w:r>
          </w:p>
        </w:tc>
      </w:tr>
      <w:tr w:rsidR="00FF134F" w:rsidRPr="00FF134F" w:rsidTr="00FF134F">
        <w:trPr>
          <w:trHeight w:val="1851"/>
        </w:trPr>
        <w:tc>
          <w:tcPr>
            <w:tcW w:w="2202" w:type="dxa"/>
          </w:tcPr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Подпрограммы Программы</w:t>
            </w:r>
          </w:p>
        </w:tc>
        <w:tc>
          <w:tcPr>
            <w:tcW w:w="8363" w:type="dxa"/>
          </w:tcPr>
          <w:p w:rsidR="001104E1" w:rsidRPr="00FF134F" w:rsidRDefault="00FC304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5" w:history="1">
              <w:r w:rsidR="001104E1" w:rsidRPr="00FF134F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Подпрограмма 1</w:t>
              </w:r>
            </w:hyperlink>
            <w:r w:rsidR="001104E1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1104E1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дошкольного, общего и дополнительного образования детей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:rsidR="001104E1" w:rsidRPr="00FF134F" w:rsidRDefault="00FC304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6" w:history="1">
              <w:r w:rsidR="001104E1" w:rsidRPr="00FF134F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Подпрограмма 2</w:t>
              </w:r>
            </w:hyperlink>
            <w:r w:rsidR="001104E1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1104E1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профессионального образования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:rsidR="001104E1" w:rsidRPr="00FF134F" w:rsidRDefault="00FC304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7" w:history="1">
              <w:r w:rsidR="001104E1" w:rsidRPr="00FF134F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Подпрограмма 3</w:t>
              </w:r>
            </w:hyperlink>
            <w:r w:rsidR="001104E1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1104E1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</w:t>
            </w:r>
            <w:proofErr w:type="spellStart"/>
            <w:r w:rsidR="001104E1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девиантным</w:t>
            </w:r>
            <w:proofErr w:type="spellEnd"/>
            <w:r w:rsidR="001104E1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поведением, детей-сирот и детей, оставшихся без попечения родителей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:rsidR="001104E1" w:rsidRPr="00FF134F" w:rsidRDefault="00FC304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8" w:history="1">
              <w:r w:rsidR="001104E1" w:rsidRPr="00FF134F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Подпрограмма 4</w:t>
              </w:r>
            </w:hyperlink>
            <w:r w:rsidR="001104E1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1104E1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Обеспечение реализации государственной программы и прочие мероприятия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:rsidR="001104E1" w:rsidRPr="00FF134F" w:rsidRDefault="00FC304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9" w:history="1">
              <w:r w:rsidR="001104E1" w:rsidRPr="00FF134F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Подпрограмма 5</w:t>
              </w:r>
            </w:hyperlink>
            <w:r w:rsidR="001104E1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1104E1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Поддержка детей и молодежи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FF134F" w:rsidRPr="00FF134F" w:rsidTr="00FF134F">
        <w:tc>
          <w:tcPr>
            <w:tcW w:w="2202" w:type="dxa"/>
          </w:tcPr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Государственные программы Российской Федерации и/или федеральные целевые программы, на реализацию которых направлены мероприятия Программы</w:t>
            </w:r>
          </w:p>
        </w:tc>
        <w:tc>
          <w:tcPr>
            <w:tcW w:w="8363" w:type="dxa"/>
          </w:tcPr>
          <w:p w:rsidR="001104E1" w:rsidRPr="00FF134F" w:rsidRDefault="001104E1" w:rsidP="005C6E1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Государственная </w:t>
            </w:r>
            <w:hyperlink r:id="rId10" w:history="1">
              <w:r w:rsidRPr="00FF134F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программа</w:t>
              </w:r>
            </w:hyperlink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Российской Федерации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образования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утвержденная постановлением Правительства Российской Федерации от 26 декабря 2017 года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1642, федеральная целевая </w:t>
            </w:r>
            <w:hyperlink r:id="rId11" w:history="1">
              <w:r w:rsidRPr="00FF134F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программа</w:t>
              </w:r>
            </w:hyperlink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Социально-экономическое развитие Республики Крым и г. Севастополя до 202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утвержденная постановлением Правительства Российской Федерации от 11 августа 2014 года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790; государственная </w:t>
            </w:r>
            <w:hyperlink r:id="rId12" w:history="1">
              <w:r w:rsidRPr="00FF134F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программа</w:t>
              </w:r>
            </w:hyperlink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Российской Федерации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Социальная поддержка граждан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утвержденная постановлением Правительства Российской Федерации от 15 апреля 2014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296, государственная </w:t>
            </w:r>
            <w:hyperlink r:id="rId13" w:history="1">
              <w:r w:rsidRPr="00FF134F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программа</w:t>
              </w:r>
            </w:hyperlink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Российской Федерации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Доступная среда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утвержденная постановлением Правительства Российской Федерации от 29 марта 2019 года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363</w:t>
            </w:r>
          </w:p>
        </w:tc>
      </w:tr>
      <w:tr w:rsidR="00FF134F" w:rsidRPr="00FF134F" w:rsidTr="00FF134F">
        <w:tc>
          <w:tcPr>
            <w:tcW w:w="2202" w:type="dxa"/>
          </w:tcPr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Национальные проекты (программы), на реализацию которых направлены 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мероприятия Программы</w:t>
            </w:r>
          </w:p>
        </w:tc>
        <w:tc>
          <w:tcPr>
            <w:tcW w:w="8363" w:type="dxa"/>
          </w:tcPr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Национальный </w:t>
            </w:r>
            <w:hyperlink r:id="rId14" w:history="1">
              <w:r w:rsidRPr="00FF134F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проект</w:t>
              </w:r>
            </w:hyperlink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Образование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национальный </w:t>
            </w:r>
            <w:hyperlink r:id="rId15" w:history="1">
              <w:r w:rsidRPr="00FF134F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проект</w:t>
              </w:r>
            </w:hyperlink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Демография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утверждены президиумом Совета при Президенте Российской Федерации по стратегическому развитию и национальным проектам (протокол от 24 декабря 2018 года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16)</w:t>
            </w:r>
          </w:p>
        </w:tc>
      </w:tr>
      <w:tr w:rsidR="00FF134F" w:rsidRPr="00FF134F" w:rsidTr="00FF134F">
        <w:tc>
          <w:tcPr>
            <w:tcW w:w="2202" w:type="dxa"/>
          </w:tcPr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Программно-целевые инструменты Программы</w:t>
            </w:r>
          </w:p>
        </w:tc>
        <w:tc>
          <w:tcPr>
            <w:tcW w:w="8363" w:type="dxa"/>
          </w:tcPr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F134F" w:rsidRPr="00FF134F" w:rsidTr="00FF134F">
        <w:tc>
          <w:tcPr>
            <w:tcW w:w="2202" w:type="dxa"/>
          </w:tcPr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Цели Программы</w:t>
            </w:r>
          </w:p>
        </w:tc>
        <w:tc>
          <w:tcPr>
            <w:tcW w:w="8363" w:type="dxa"/>
          </w:tcPr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повышения качества образования в Республике Крым</w:t>
            </w:r>
          </w:p>
        </w:tc>
      </w:tr>
      <w:tr w:rsidR="00FF134F" w:rsidRPr="00FF134F" w:rsidTr="00FF134F">
        <w:tc>
          <w:tcPr>
            <w:tcW w:w="2202" w:type="dxa"/>
          </w:tcPr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Задачи Программы:</w:t>
            </w:r>
          </w:p>
        </w:tc>
        <w:tc>
          <w:tcPr>
            <w:tcW w:w="8363" w:type="dxa"/>
          </w:tcPr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обеспечение равного доступа граждан к качественному непрерывному образованию в соответствии с федеральными государственными образовательными стандартами;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модернизация системы образования, направленная на достижение современного качества учебных результатов;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создание условий для ликвидации двухсменного режима обучения;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создание современной системы оценки качества образования на основе принципов открытости, объективности, прозрачности, общественно-профессионального участия;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обеспечение свободного доступа молодежи, лиц трудоспособного возраста к качественному профессиональному образованию;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духовно-нравственное воспитание и социальное развитие обучающихся, поддержка их творческих инициатив, защита прав и интересов;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создание условий для занятий физической культурой и спортом;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повышение качества дополнительного образования;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выявление, развитие и поддержка одаренных и талантливых детей;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создание условий для предоставления </w:t>
            </w:r>
            <w:proofErr w:type="gram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обучающимся</w:t>
            </w:r>
            <w:proofErr w:type="gramEnd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ограниченными возможностями здоровья равного доступа к качественному образованию;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создание условий для успешной социализации и эффективной самореализации обучающихся, в том числе испытывающих трудности в развитии, адаптации, обучении и общении;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развитие и совершенствование системы патриотического воспитания, способствующей широкому вовлечению граждан Российской Федерации, проживающих на территории Республики Крым, в процесс духовно-нравственного, патриотического становления, создание условий для формирования у них высокого патриотического сознания, готовности к защите Отечества;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обеспечение выполнения полномочий и функций Министерства образования, науки и молодежи Республики Крым</w:t>
            </w:r>
          </w:p>
        </w:tc>
      </w:tr>
      <w:tr w:rsidR="00FF134F" w:rsidRPr="00FF134F" w:rsidTr="00FF134F">
        <w:tblPrEx>
          <w:tblBorders>
            <w:insideH w:val="nil"/>
          </w:tblBorders>
        </w:tblPrEx>
        <w:tc>
          <w:tcPr>
            <w:tcW w:w="2202" w:type="dxa"/>
            <w:tcBorders>
              <w:bottom w:val="nil"/>
            </w:tcBorders>
          </w:tcPr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Целевые индикаторы и 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показатели Программы</w:t>
            </w:r>
          </w:p>
        </w:tc>
        <w:tc>
          <w:tcPr>
            <w:tcW w:w="8363" w:type="dxa"/>
            <w:tcBorders>
              <w:bottom w:val="nil"/>
            </w:tcBorders>
          </w:tcPr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- количество новых мест в общеобразовательных организациях Республики Крым, в том числе: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созданных путем строительства объектов инфраструктуры общего образования в рамках мероприятия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Создание новых мест в общеобразовательных организациях (продолжение реализации приоритетного проекта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Современная образовательная среда для школьников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Республике Крым)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количество новых мест в общеобразовательных организациях Республики Крым, в том числе: созданных путем строительства объектов инфраструктуры общего образования в рамках федеральной целевой </w:t>
            </w:r>
            <w:hyperlink r:id="rId16" w:history="1">
              <w:r w:rsidRPr="00FF134F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программы</w:t>
              </w:r>
            </w:hyperlink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Социально-экономическое развитие Республики Крым и г. Севастополя до 202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утвержденной постановлением Правительства Российской Федерации от 11 августа 2014 года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790;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созданных путем строительства объектов инфраструктуры общего образования в рамках мероприятия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количество новых мест в дошкольных образовательных организациях Республики Крым, в том числе: созданных путем строительства и реконструкции объектов инфраструктуры дошкольного образования в рамках федеральной целевой </w:t>
            </w:r>
            <w:hyperlink r:id="rId17" w:history="1">
              <w:r w:rsidRPr="00FF134F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программы</w:t>
              </w:r>
            </w:hyperlink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Социально-экономическое развитие Республики Крым и г. Севастополя до 202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утвержденной постановлением Правительства Российской Федерации от 11 августа 2014 года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790;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количество новых мест в дошкольных образовательных организациях Республики Крым, в том числе: созданных путем строительства (реконструкции, капремонта) и приобретения объектов инфраструктуры дошкольного образования в рамках Республиканской адресной инвестиционной программы; в том числе для детей в возрасте от двух месяцев до 3 лет;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количество новых мест в дошкольных образовательных организациях Республики Крым, в том числе созданных путем строительства объектов инфраструктуры дошкольного образования в рамках реализации мероприятия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дополнительных мест в организациях, осуществляющих образовательную деятельность по образовательным программам дошкольного образования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 в том числе для детей в возрасте от двух месяцев до 3 лет;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созданных путем строительства объектов инфраструктуры дошкольного образования в рамках реализации мероприятия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дополнительных мест, в том числе с обеспечением необходимых условий пребывания детей с ОВЗ и детей-инвалидов, в организациях, осуществляющих образовательную деятельность по образовательным программам дошкольного образования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 том числе для детей в возрасте от 1,5 до 3 лет;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- доступность дошкольного образования для детей в возрасте от 3 до 7 лет;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обеспеченность детей дошкольного возраста местами в дошкольных образовательных организациях;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доля обучающихся в государственных (муниципальных) общеобразовательных организациях, занимающихся в одну смену, в общей </w:t>
            </w:r>
            <w:proofErr w:type="gram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численности</w:t>
            </w:r>
            <w:proofErr w:type="gramEnd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обучающихся в государственных (муниципальных) общеобразовательных организациях;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удельный вес численности обучающихся в общеобразовательных организациях по федеральным государственным образовательным стандартам в общей численности учащихся общеобразовательных организаций по состоянию на 1 января;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охват детей программами дошкольного образования;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количество образовательных организаций, оснащенных системами видеонаблюдения;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количество образовательных организаций, оснащенных системами пожарной безопасности;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количество образовательных организаций, пищеблоки которых переоснащены современным технологическим оборудованием;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количество образовательных организаций, в которых переоснащены медицинские кабинеты в соответствии с современными требованиями;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количество приобретенных автобусов для перевозки обучающихся;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доля государственных (муниципальных) общеобразовательных учреждений, соответствующих современным требованиям обучения, в общем количестве государственных (муниципальных) общеобразовательных учреждений;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доля государственных (муниципальных) образовательных организаций, реализующих образовательные программы начального общего, основного общего и (или) среднего общего образования, имеющих физкультурный зал, в общей численности государственных (муниципальных) образовательных организаций, реализующих образовательные программы начального общего, основного общего и (или) среднего общего образования;</w:t>
            </w:r>
            <w:proofErr w:type="gramEnd"/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доля государственных (муниципальных) образовательных организаций, реализующих образовательные программы начального общего, основного общего и (или) среднего общего образования, здания которых находятся в аварийном состоянии или требуют капитального ремонта, в общей численности государственных (муниципальных) образовательных организаций, реализующих образовательные программы начального общего, основного общего и (или) среднего общего образования;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удельный вес численности педагогических работников 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образовательных организаций, прошедших повышение квалификации и (или) профессиональную переподготовку, в общей численности педагогических работников;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доля общеобразовательных организаций, в которых создана универсальная </w:t>
            </w:r>
            <w:proofErr w:type="spell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безбарьерная</w:t>
            </w:r>
            <w:proofErr w:type="spellEnd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среда для инклюзивного образования детей-инвалидов, в общем количестве общеобразовательных организаций;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доля детей-инвалидов школьного возраста, охваченных общим образованием, от общего количества детей-инвалидов данного возраста;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увеличение количества реализуемых образовательных программ в соответствии с достижениями научно-технического прогресса, информатизации общественной жизни и быта;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удельный вес численности учителей общеобразовательных организаций в возрасте до 35 лет в общей численности учителей общеобразовательных организаций;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уровень оснащенности пунктов проведения единого государственного экзамена оборудованием для применения технологий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Печать и сканирование в пунктах проведения единого государственного экзамена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проведения раздела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Говорение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единого государственного экзамена по иностранным языкам (принтерами, сканерами и автоматизированными рабочими местами);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уровень оснащенности государственного казенного учреждения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Центр оценки и мониторинга качества образования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выполняющего функции Регионального центра обработки информации, техническим оборудованием для повышения скорости обработки экзаменационных материалов;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количество обучающих семинаров по внедрению новых технологий, разработка методических материалов по формированию региональных оценочных инструментов для проведения </w:t>
            </w:r>
            <w:proofErr w:type="spell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внутрирегионального</w:t>
            </w:r>
            <w:proofErr w:type="spellEnd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анализа оценки качества общего образования;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количество региональных оценочных инструментов для проведения </w:t>
            </w:r>
            <w:proofErr w:type="spell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внутрирегионального</w:t>
            </w:r>
            <w:proofErr w:type="spellEnd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анализа оценки качества общего образования, действующих в Республике Крым на регулярной основе;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количество разработанных программ подготовки и/или повышения квалификации работников сферы образования в области оценки качества образования;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количество специалистов, прошедших подготовку и/или повышение квалификации по разработанным программам (в </w:t>
            </w:r>
            <w:proofErr w:type="spell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т.ч</w:t>
            </w:r>
            <w:proofErr w:type="spellEnd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в области педагогических измерений, анализа и использования результатов оценочных процедур);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- количество обучающих мероприятий по разработанным программам подготовки и/или повышения квалификации работников сферы образования в области оценки качества образования;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количество мероприятий, направленных на раннюю профилактику употребления алкоголя, наркотических средств, токсических и психотропных веществ, других асоциальных явлений среди несовершеннолетних, оказание психологической помощи детям, испытывающим трудности в развитии, адаптации, обучении и общении;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количество объектов дошкольного образования, созданных в рамках федеральной целевой </w:t>
            </w:r>
            <w:hyperlink r:id="rId18" w:history="1">
              <w:r w:rsidRPr="00FF134F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программы</w:t>
              </w:r>
            </w:hyperlink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Социально-экономическое развитие Республики Крым и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г. Севастополя до 202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количество объектов общего образования, созданных в рамках федеральной целевой </w:t>
            </w:r>
            <w:hyperlink r:id="rId19" w:history="1">
              <w:r w:rsidRPr="00FF134F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программы</w:t>
              </w:r>
            </w:hyperlink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Социально-экономическое развитие Республики Крым и г. Севастополя до 202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количество приобретенного недвижимого имущества в муниципальную собственность;</w:t>
            </w:r>
          </w:p>
        </w:tc>
      </w:tr>
      <w:tr w:rsidR="00FF134F" w:rsidRPr="00FF134F" w:rsidTr="00FF134F">
        <w:tblPrEx>
          <w:tblBorders>
            <w:insideH w:val="nil"/>
          </w:tblBorders>
        </w:tblPrEx>
        <w:tc>
          <w:tcPr>
            <w:tcW w:w="2202" w:type="dxa"/>
            <w:tcBorders>
              <w:top w:val="nil"/>
              <w:bottom w:val="nil"/>
            </w:tcBorders>
          </w:tcPr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nil"/>
              <w:bottom w:val="nil"/>
            </w:tcBorders>
          </w:tcPr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доля педагогических работников общеобразовательных организаций, получивших ежемесячное денежное вознаграждение за классное руководство из расчета 5 тысяч рублей в месяц, с учетом страховых взносов в государственные внебюджетные фонды, а также районных коэффициентов и процентных надбавок, в общей численности педагогических работников такой категории;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доля учителей, которым предоставлены единовременные компенсационные выплаты, в общем количестве учителей, которым планируется предоставить единовременные компенсационные выплаты в соответствующем финансовом году;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численность воспитанников в возрасте до трех лет, посещающих государственные и муниципальные организации, осуществляющие образовательную деятельность по образовательным программам дошкольного образования и </w:t>
            </w:r>
            <w:proofErr w:type="gram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присмотр</w:t>
            </w:r>
            <w:proofErr w:type="gramEnd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уход, в Республике Крым;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доступность дошкольного образования для детей в возрасте от полутора до трех лет;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численность воспитанников в возрасте до трех лет, посещающих частные организации, осуществляющие образовательную деятельность по образовательным программам дошкольного образования, присмотр и уход, в том числе в Республике Крым;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количество субъектов Российской Федерации,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образования;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программам;</w:t>
            </w:r>
            <w:proofErr w:type="gramEnd"/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доля образовательных организаций, реализующих программы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доля </w:t>
            </w:r>
            <w:proofErr w:type="gram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обучающихся</w:t>
            </w:r>
            <w:proofErr w:type="gramEnd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программам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 для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горизонтального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обучения и неформального образования, в общем числе обучающихся по указанным программам;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одного окна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Современная цифровая образовательная среда в Российской Федерации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), в общем числе педагогических работников общего образования;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доля учителей общеобразовательных организаций, вовлеченных в национальную систему профессионального роста педагогических работников;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доля педагогических работников, прошедших добровольную независимую оценку квалификации;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естественно-научного</w:t>
            </w:r>
            <w:proofErr w:type="gramEnd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гуманитарного профилей, единиц, нарастающим итогом к 2018 году;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естественно-научного</w:t>
            </w:r>
            <w:proofErr w:type="gramEnd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гуманитарного профилей;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число созданных новых мест в общеобразовательных организациях, расположенных в сельской местности и поселках городского типа (нарастающим итогом с 2019 года);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количество созданных в Республике Крым детских технопарков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«</w:t>
            </w:r>
            <w:proofErr w:type="spell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Кванториум</w:t>
            </w:r>
            <w:proofErr w:type="spellEnd"/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(нар</w:t>
            </w:r>
            <w:proofErr w:type="gram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proofErr w:type="gramEnd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proofErr w:type="gramEnd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тогом);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количество созданных в Республике Крым мобильных технопарков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proofErr w:type="spell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Кванториум</w:t>
            </w:r>
            <w:proofErr w:type="spellEnd"/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(для детей, проживающих в сельской местности и малых городах) (нар</w:t>
            </w:r>
            <w:proofErr w:type="gram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proofErr w:type="gramEnd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proofErr w:type="gramEnd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тогом);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доля детей в возрасте от 5 до 18 лет, проживающих в Республике Крым, охваченных дополнительным образованием;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число детей, охваченных деятельностью детских технопарков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proofErr w:type="spell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Кванториум</w:t>
            </w:r>
            <w:proofErr w:type="spellEnd"/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(мобильных технопарков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proofErr w:type="spell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Кванториум</w:t>
            </w:r>
            <w:proofErr w:type="spellEnd"/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и других проектов, направленных на обеспечение доступности дополнительных общеобразовательных программ </w:t>
            </w:r>
            <w:proofErr w:type="gram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естественно-научной</w:t>
            </w:r>
            <w:proofErr w:type="gramEnd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технической направленностей, соответствующих приоритетным направлениям технологического развития Российской Федерации, тысяч человек, нарастающим итогом;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число участников открытых онлайн-уроков, реализуемых с учетом опыта цикла открытых уроков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proofErr w:type="spell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Проектория</w:t>
            </w:r>
            <w:proofErr w:type="spellEnd"/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Уроки настоящего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или иных аналогичных по возможностям, функциям и результатам проектов, направленных на раннюю профориентацию, </w:t>
            </w:r>
            <w:proofErr w:type="gram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млн</w:t>
            </w:r>
            <w:proofErr w:type="gramEnd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человек, нарастающим итогом;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число региональных центров выявления, поддержки и развития способностей и талантов у детей и молодежи, создаваемых и реализующих программы с учетом опыта Образовательного фонда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Талант и успех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gram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участниками</w:t>
            </w:r>
            <w:proofErr w:type="gramEnd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которых стали не менее 5% обучающихся по образовательным программам основного и среднего общего образования в Республике Крым, с нарастающим итогом, единиц;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выполнение комплекса мероприятий и работ, на которые предоставлена субсидия (капитальные вложения, капитальные ремонты);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обеспечение одноразовым бесплатным горячим питанием (завтрак) учащихся 1 - 4 классов муниципальных образовательных организаций;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улучшение материально-технической базы образовательных организаций, профессиональных образовательных организаций;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доля обучающихся, вовлеченных в различные формы самоорганизации и самоуправления образовательных организаций;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доля выпускников учреждений профессионального образования, которые обучались по укрупненным группам профессий и специальностей, соответствующих приоритетным отраслям региональной экономики, и трудоустроились не позднее одного года после выпуска, в общем количестве выпускников учреждений высшего и профессионального образования;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привлечение к участию в научно-практической работе представителей научных учреждений и высших учебных заведений, аспирантов и студентов;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- создание в Республике Крым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доля средних профессиональных образовательных организаций, в которых осуществляется подготовка кадров по 50 наиболее перспективным и востребованным на рынке труда профессиям и специальностям, требующим среднего профессионального образования, в общем количестве средних профессиональных образовательных организаций;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доля инвалидов, принятых на </w:t>
            </w:r>
            <w:proofErr w:type="gram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обучение по программам</w:t>
            </w:r>
            <w:proofErr w:type="gramEnd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среднего профессионального образования (по отношению к предыдущему году);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доля студентов из числа инвалидов, обучавшихся по программам среднего профессионального образования, выбывших по причине академической неуспеваемости;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охват молодежи образовательными программами среднего профессионального образования - программами по подготовке квалифицированных рабочих, служащих (отношение численности обучающихся по программам подготовки квалифицированных рабочих, служащих к численности населения в возрасте </w:t>
            </w:r>
            <w:r w:rsidR="005C6E17"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</w:t>
            </w: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15 - 17 лет);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охват молодежи образовательными программами среднего профессионального образования - программами по подготовке специалистов среднего звена (отношение численности обучающихся по подготовке специалистов среднего звена к численности населения в возрасте 15 - 19 лет);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доля выпускников учреждения среднего профессионального образования, трудоустроившихся в 1 год после окончания обучения;</w:t>
            </w:r>
          </w:p>
        </w:tc>
      </w:tr>
      <w:tr w:rsidR="00FF134F" w:rsidRPr="00FF134F" w:rsidTr="00FF134F">
        <w:tblPrEx>
          <w:tblBorders>
            <w:insideH w:val="nil"/>
          </w:tblBorders>
        </w:tblPrEx>
        <w:tc>
          <w:tcPr>
            <w:tcW w:w="2202" w:type="dxa"/>
            <w:tcBorders>
              <w:top w:val="nil"/>
              <w:bottom w:val="nil"/>
            </w:tcBorders>
          </w:tcPr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nil"/>
              <w:bottom w:val="nil"/>
            </w:tcBorders>
          </w:tcPr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доля организаций, осуществляющих образовательную деятельность по образовательным программам среднего профессионального образования, итоговая аттестация в которых проводится в форме демонстрационного экзамена;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доля обучающихся, завершающих обучение в организациях, осуществляющих образовательную деятельность по образовательным программам среднего профессионального образования, прошедших аттестацию с использованием механизма демонстрационного экзамена;</w:t>
            </w:r>
            <w:proofErr w:type="gramEnd"/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число центров опережающей профессиональной подготовки (накопительным итогом);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число мастерских, оснащенных современной материально-технической базой по одной из компетенций (накопительным итогом);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- 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доля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детей, оставшихся без попечения родителей, и лиц из их числа, состоящих на учете на получение жилого помещения, включая лиц в</w:t>
            </w:r>
            <w:proofErr w:type="gramEnd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возрасте</w:t>
            </w:r>
            <w:proofErr w:type="gramEnd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23 лет и старше (всего на начало отчетного года);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численность детей-сирот и детей, оставшихся без попечения родителей, воспитывающихся в приемных семьях;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численность детей, лишенных родительского попечения, устроенных в семейные формы воспитания и получивших соответствующие выплаты за отчетный год;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численность детей-сирот и детей, оставшихся без попечения родителей, обучающихся в организациях для детей-сирот и детей, оставшихся без попечения родителей;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доля детей, оставшихся без попечения родителей, в том числе переданных </w:t>
            </w:r>
            <w:proofErr w:type="spellStart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неродственникам</w:t>
            </w:r>
            <w:proofErr w:type="spellEnd"/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(в приемные семьи, на усыновление (удочерение), под опеку (попечительство), в семейные детские дома и патронатные семьи), находящихся в государственных (муниципальных) учреждениях всех типов;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доля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количество мероприятий, проведенных в рамках государственной программы;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доля выполненных программных мероприятий из числа планируемых к реализации;</w:t>
            </w:r>
          </w:p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создание условий для оздоровления и отдыха детей (охват оздоровлением и отдыхом детей)</w:t>
            </w:r>
          </w:p>
        </w:tc>
      </w:tr>
      <w:tr w:rsidR="00FF134F" w:rsidRPr="00FF134F" w:rsidTr="00FF134F">
        <w:tc>
          <w:tcPr>
            <w:tcW w:w="2202" w:type="dxa"/>
          </w:tcPr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8363" w:type="dxa"/>
          </w:tcPr>
          <w:p w:rsidR="001104E1" w:rsidRPr="00FF134F" w:rsidRDefault="001104E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Программа реализуется с 1 января 2016 года по 31 декабря 2025 года</w:t>
            </w:r>
          </w:p>
        </w:tc>
      </w:tr>
      <w:tr w:rsidR="00FF134F" w:rsidRPr="00FF134F" w:rsidTr="00FF134F">
        <w:trPr>
          <w:trHeight w:val="3019"/>
        </w:trPr>
        <w:tc>
          <w:tcPr>
            <w:tcW w:w="2202" w:type="dxa"/>
          </w:tcPr>
          <w:p w:rsidR="008A6D7F" w:rsidRPr="00FF134F" w:rsidRDefault="008A6D7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Объемы бюджетных ассигнований Программы</w:t>
            </w:r>
          </w:p>
        </w:tc>
        <w:tc>
          <w:tcPr>
            <w:tcW w:w="8363" w:type="dxa"/>
          </w:tcPr>
          <w:p w:rsidR="00A24468" w:rsidRPr="00FF134F" w:rsidRDefault="00A24468" w:rsidP="00A24468">
            <w:pPr>
              <w:contextualSpacing/>
              <w:jc w:val="both"/>
              <w:rPr>
                <w:bCs/>
                <w:color w:val="000000" w:themeColor="text1"/>
              </w:rPr>
            </w:pPr>
            <w:r w:rsidRPr="00FF134F">
              <w:rPr>
                <w:color w:val="000000" w:themeColor="text1"/>
              </w:rPr>
              <w:t xml:space="preserve">Общий объем финансирования Программы составляет </w:t>
            </w:r>
          </w:p>
          <w:p w:rsidR="00A24468" w:rsidRPr="00FF134F" w:rsidRDefault="00FC304C" w:rsidP="00A24468">
            <w:pPr>
              <w:jc w:val="both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271 826 784,237 </w:t>
            </w:r>
            <w:r w:rsidR="00A24468" w:rsidRPr="00FF134F">
              <w:rPr>
                <w:color w:val="000000" w:themeColor="text1"/>
              </w:rPr>
              <w:t>тыс. рублей, в том числе:</w:t>
            </w:r>
          </w:p>
          <w:tbl>
            <w:tblPr>
              <w:tblW w:w="74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1"/>
              <w:gridCol w:w="742"/>
              <w:gridCol w:w="534"/>
              <w:gridCol w:w="567"/>
              <w:gridCol w:w="498"/>
              <w:gridCol w:w="570"/>
              <w:gridCol w:w="570"/>
              <w:gridCol w:w="492"/>
              <w:gridCol w:w="492"/>
              <w:gridCol w:w="638"/>
              <w:gridCol w:w="567"/>
              <w:gridCol w:w="785"/>
            </w:tblGrid>
            <w:tr w:rsidR="00FF134F" w:rsidRPr="00710B86" w:rsidTr="00A24468">
              <w:trPr>
                <w:cantSplit/>
                <w:trHeight w:val="1801"/>
              </w:trPr>
              <w:tc>
                <w:tcPr>
                  <w:tcW w:w="991" w:type="dxa"/>
                  <w:shd w:val="clear" w:color="auto" w:fill="auto"/>
                  <w:textDirection w:val="btLr"/>
                </w:tcPr>
                <w:p w:rsidR="00A24468" w:rsidRPr="00710B86" w:rsidRDefault="00A24468" w:rsidP="00FF134F">
                  <w:pPr>
                    <w:contextualSpacing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r w:rsidRPr="00710B86">
                    <w:rPr>
                      <w:color w:val="000000" w:themeColor="text1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742" w:type="dxa"/>
                  <w:shd w:val="clear" w:color="auto" w:fill="auto"/>
                  <w:textDirection w:val="btLr"/>
                </w:tcPr>
                <w:p w:rsidR="00A24468" w:rsidRPr="00710B86" w:rsidRDefault="00A24468" w:rsidP="00FF134F">
                  <w:pPr>
                    <w:contextualSpacing/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710B86">
                    <w:rPr>
                      <w:color w:val="000000" w:themeColor="text1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534" w:type="dxa"/>
                  <w:shd w:val="clear" w:color="auto" w:fill="auto"/>
                  <w:textDirection w:val="btLr"/>
                </w:tcPr>
                <w:p w:rsidR="00A24468" w:rsidRPr="00710B86" w:rsidRDefault="00A24468" w:rsidP="00FF134F">
                  <w:pPr>
                    <w:contextualSpacing/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710B86">
                    <w:rPr>
                      <w:color w:val="000000" w:themeColor="text1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567" w:type="dxa"/>
                  <w:shd w:val="clear" w:color="auto" w:fill="auto"/>
                  <w:textDirection w:val="btLr"/>
                </w:tcPr>
                <w:p w:rsidR="00A24468" w:rsidRPr="00710B86" w:rsidRDefault="00A24468" w:rsidP="00FF134F">
                  <w:pPr>
                    <w:contextualSpacing/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710B86">
                    <w:rPr>
                      <w:color w:val="000000" w:themeColor="text1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498" w:type="dxa"/>
                  <w:shd w:val="clear" w:color="auto" w:fill="auto"/>
                  <w:textDirection w:val="btLr"/>
                </w:tcPr>
                <w:p w:rsidR="00A24468" w:rsidRPr="00710B86" w:rsidRDefault="00A24468" w:rsidP="00FF134F">
                  <w:pPr>
                    <w:contextualSpacing/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710B86">
                    <w:rPr>
                      <w:color w:val="000000" w:themeColor="text1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570" w:type="dxa"/>
                  <w:shd w:val="clear" w:color="auto" w:fill="auto"/>
                  <w:textDirection w:val="btLr"/>
                </w:tcPr>
                <w:p w:rsidR="00A24468" w:rsidRPr="00710B86" w:rsidRDefault="00A24468" w:rsidP="00FF134F">
                  <w:pPr>
                    <w:contextualSpacing/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710B86">
                    <w:rPr>
                      <w:color w:val="000000" w:themeColor="text1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570" w:type="dxa"/>
                  <w:shd w:val="clear" w:color="auto" w:fill="auto"/>
                  <w:textDirection w:val="btLr"/>
                </w:tcPr>
                <w:p w:rsidR="00A24468" w:rsidRPr="00710B86" w:rsidRDefault="00A24468" w:rsidP="00FF134F">
                  <w:pPr>
                    <w:contextualSpacing/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710B86">
                    <w:rPr>
                      <w:color w:val="000000" w:themeColor="text1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492" w:type="dxa"/>
                  <w:shd w:val="clear" w:color="auto" w:fill="auto"/>
                  <w:textDirection w:val="btLr"/>
                </w:tcPr>
                <w:p w:rsidR="00A24468" w:rsidRPr="00710B86" w:rsidRDefault="00A24468" w:rsidP="00FF134F">
                  <w:pPr>
                    <w:contextualSpacing/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710B86">
                    <w:rPr>
                      <w:color w:val="000000" w:themeColor="text1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492" w:type="dxa"/>
                  <w:shd w:val="clear" w:color="auto" w:fill="auto"/>
                  <w:textDirection w:val="btLr"/>
                </w:tcPr>
                <w:p w:rsidR="00A24468" w:rsidRPr="00710B86" w:rsidRDefault="00A24468" w:rsidP="00FF134F">
                  <w:pPr>
                    <w:contextualSpacing/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710B86">
                    <w:rPr>
                      <w:color w:val="000000" w:themeColor="text1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638" w:type="dxa"/>
                  <w:shd w:val="clear" w:color="auto" w:fill="auto"/>
                  <w:textDirection w:val="btLr"/>
                </w:tcPr>
                <w:p w:rsidR="00A24468" w:rsidRPr="00710B86" w:rsidRDefault="00A24468" w:rsidP="00FF134F">
                  <w:pPr>
                    <w:contextualSpacing/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710B86">
                    <w:rPr>
                      <w:color w:val="000000" w:themeColor="text1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567" w:type="dxa"/>
                  <w:shd w:val="clear" w:color="auto" w:fill="auto"/>
                  <w:textDirection w:val="btLr"/>
                </w:tcPr>
                <w:p w:rsidR="00A24468" w:rsidRPr="00710B86" w:rsidRDefault="00A24468" w:rsidP="00FF134F">
                  <w:pPr>
                    <w:contextualSpacing/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710B86">
                    <w:rPr>
                      <w:color w:val="000000" w:themeColor="text1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785" w:type="dxa"/>
                  <w:shd w:val="clear" w:color="auto" w:fill="auto"/>
                  <w:textDirection w:val="btLr"/>
                </w:tcPr>
                <w:p w:rsidR="00A24468" w:rsidRPr="00710B86" w:rsidRDefault="00A24468" w:rsidP="00FF134F">
                  <w:pPr>
                    <w:contextualSpacing/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710B86">
                    <w:rPr>
                      <w:color w:val="000000" w:themeColor="text1"/>
                      <w:sz w:val="24"/>
                      <w:szCs w:val="24"/>
                    </w:rPr>
                    <w:t>2025</w:t>
                  </w:r>
                </w:p>
              </w:tc>
            </w:tr>
            <w:tr w:rsidR="00FF134F" w:rsidRPr="00710B86" w:rsidTr="00FF134F">
              <w:trPr>
                <w:cantSplit/>
                <w:trHeight w:val="1964"/>
              </w:trPr>
              <w:tc>
                <w:tcPr>
                  <w:tcW w:w="991" w:type="dxa"/>
                  <w:shd w:val="clear" w:color="auto" w:fill="auto"/>
                  <w:textDirection w:val="btLr"/>
                  <w:hideMark/>
                </w:tcPr>
                <w:p w:rsidR="00CB5AF0" w:rsidRPr="00710B86" w:rsidRDefault="00CB5AF0" w:rsidP="00FF134F">
                  <w:pPr>
                    <w:contextualSpacing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r w:rsidRPr="00710B86">
                    <w:rPr>
                      <w:color w:val="000000" w:themeColor="text1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742" w:type="dxa"/>
                  <w:tcBorders>
                    <w:bottom w:val="nil"/>
                  </w:tcBorders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271 826 784,23700</w:t>
                  </w:r>
                </w:p>
              </w:tc>
              <w:tc>
                <w:tcPr>
                  <w:tcW w:w="534" w:type="dxa"/>
                  <w:tcBorders>
                    <w:bottom w:val="nil"/>
                  </w:tcBorders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25439662,56800</w:t>
                  </w:r>
                </w:p>
              </w:tc>
              <w:tc>
                <w:tcPr>
                  <w:tcW w:w="567" w:type="dxa"/>
                  <w:tcBorders>
                    <w:bottom w:val="nil"/>
                  </w:tcBorders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28666908,58766</w:t>
                  </w:r>
                </w:p>
              </w:tc>
              <w:tc>
                <w:tcPr>
                  <w:tcW w:w="498" w:type="dxa"/>
                  <w:tcBorders>
                    <w:bottom w:val="nil"/>
                  </w:tcBorders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29871210,88533</w:t>
                  </w:r>
                </w:p>
              </w:tc>
              <w:tc>
                <w:tcPr>
                  <w:tcW w:w="570" w:type="dxa"/>
                  <w:tcBorders>
                    <w:bottom w:val="nil"/>
                  </w:tcBorders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30116941,71393</w:t>
                  </w:r>
                </w:p>
              </w:tc>
              <w:tc>
                <w:tcPr>
                  <w:tcW w:w="570" w:type="dxa"/>
                  <w:tcBorders>
                    <w:bottom w:val="nil"/>
                  </w:tcBorders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30540759,58324</w:t>
                  </w:r>
                </w:p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2" w:type="dxa"/>
                  <w:tcBorders>
                    <w:bottom w:val="nil"/>
                  </w:tcBorders>
                  <w:textDirection w:val="btLr"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26252126,76362</w:t>
                  </w:r>
                </w:p>
              </w:tc>
              <w:tc>
                <w:tcPr>
                  <w:tcW w:w="492" w:type="dxa"/>
                  <w:tcBorders>
                    <w:bottom w:val="nil"/>
                  </w:tcBorders>
                  <w:textDirection w:val="btLr"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26064501,10581</w:t>
                  </w:r>
                </w:p>
              </w:tc>
              <w:tc>
                <w:tcPr>
                  <w:tcW w:w="638" w:type="dxa"/>
                  <w:tcBorders>
                    <w:bottom w:val="nil"/>
                  </w:tcBorders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26064518,32027</w:t>
                  </w:r>
                </w:p>
              </w:tc>
              <w:tc>
                <w:tcPr>
                  <w:tcW w:w="567" w:type="dxa"/>
                  <w:tcBorders>
                    <w:bottom w:val="nil"/>
                  </w:tcBorders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24817207,35500</w:t>
                  </w:r>
                </w:p>
              </w:tc>
              <w:tc>
                <w:tcPr>
                  <w:tcW w:w="785" w:type="dxa"/>
                  <w:tcBorders>
                    <w:bottom w:val="nil"/>
                  </w:tcBorders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23992947,35500</w:t>
                  </w:r>
                </w:p>
              </w:tc>
            </w:tr>
            <w:tr w:rsidR="00FF134F" w:rsidRPr="00710B86" w:rsidTr="00A24468">
              <w:trPr>
                <w:cantSplit/>
                <w:trHeight w:val="1982"/>
              </w:trPr>
              <w:tc>
                <w:tcPr>
                  <w:tcW w:w="991" w:type="dxa"/>
                  <w:shd w:val="clear" w:color="auto" w:fill="auto"/>
                  <w:textDirection w:val="btLr"/>
                  <w:hideMark/>
                </w:tcPr>
                <w:p w:rsidR="00A24468" w:rsidRPr="00710B86" w:rsidRDefault="00A24468" w:rsidP="00FF134F">
                  <w:pPr>
                    <w:contextualSpacing/>
                    <w:rPr>
                      <w:color w:val="000000" w:themeColor="text1"/>
                      <w:sz w:val="24"/>
                      <w:szCs w:val="24"/>
                    </w:rPr>
                  </w:pPr>
                  <w:r w:rsidRPr="00710B86">
                    <w:rPr>
                      <w:color w:val="000000" w:themeColor="text1"/>
                      <w:sz w:val="24"/>
                      <w:szCs w:val="24"/>
                    </w:rPr>
                    <w:t xml:space="preserve">в </w:t>
                  </w:r>
                  <w:proofErr w:type="spellStart"/>
                  <w:r w:rsidRPr="00710B86">
                    <w:rPr>
                      <w:color w:val="000000" w:themeColor="text1"/>
                      <w:sz w:val="24"/>
                      <w:szCs w:val="24"/>
                    </w:rPr>
                    <w:t>т.ч</w:t>
                  </w:r>
                  <w:proofErr w:type="spellEnd"/>
                  <w:r w:rsidRPr="00710B86">
                    <w:rPr>
                      <w:color w:val="000000" w:themeColor="text1"/>
                      <w:sz w:val="24"/>
                      <w:szCs w:val="24"/>
                    </w:rPr>
                    <w:t>. по отдельным источникам финансирования:</w:t>
                  </w:r>
                </w:p>
              </w:tc>
              <w:tc>
                <w:tcPr>
                  <w:tcW w:w="742" w:type="dxa"/>
                  <w:shd w:val="clear" w:color="auto" w:fill="auto"/>
                  <w:textDirection w:val="btLr"/>
                  <w:hideMark/>
                </w:tcPr>
                <w:p w:rsidR="00A24468" w:rsidRPr="00710B86" w:rsidRDefault="00A24468" w:rsidP="00FF134F">
                  <w:pPr>
                    <w:contextualSpacing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534" w:type="dxa"/>
                  <w:shd w:val="clear" w:color="auto" w:fill="auto"/>
                  <w:textDirection w:val="btLr"/>
                  <w:hideMark/>
                </w:tcPr>
                <w:p w:rsidR="00A24468" w:rsidRPr="00710B86" w:rsidRDefault="00A24468" w:rsidP="00FF134F">
                  <w:pPr>
                    <w:contextualSpacing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  <w:textDirection w:val="btLr"/>
                  <w:hideMark/>
                </w:tcPr>
                <w:p w:rsidR="00A24468" w:rsidRPr="00710B86" w:rsidRDefault="00A24468" w:rsidP="00FF134F">
                  <w:pPr>
                    <w:contextualSpacing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98" w:type="dxa"/>
                  <w:shd w:val="clear" w:color="auto" w:fill="auto"/>
                  <w:textDirection w:val="btLr"/>
                  <w:hideMark/>
                </w:tcPr>
                <w:p w:rsidR="00A24468" w:rsidRPr="00710B86" w:rsidRDefault="00A24468" w:rsidP="00FF134F">
                  <w:pPr>
                    <w:contextualSpacing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570" w:type="dxa"/>
                  <w:shd w:val="clear" w:color="auto" w:fill="auto"/>
                  <w:textDirection w:val="btLr"/>
                  <w:hideMark/>
                </w:tcPr>
                <w:p w:rsidR="00A24468" w:rsidRPr="00710B86" w:rsidRDefault="00A24468" w:rsidP="00FF134F">
                  <w:pPr>
                    <w:contextualSpacing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570" w:type="dxa"/>
                  <w:shd w:val="clear" w:color="auto" w:fill="auto"/>
                  <w:textDirection w:val="btLr"/>
                  <w:hideMark/>
                </w:tcPr>
                <w:p w:rsidR="00A24468" w:rsidRPr="00710B86" w:rsidRDefault="00A24468" w:rsidP="00FF134F">
                  <w:pPr>
                    <w:contextualSpacing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92" w:type="dxa"/>
                  <w:textDirection w:val="btLr"/>
                </w:tcPr>
                <w:p w:rsidR="00A24468" w:rsidRPr="00710B86" w:rsidRDefault="00A24468" w:rsidP="00FF134F">
                  <w:pPr>
                    <w:contextualSpacing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492" w:type="dxa"/>
                  <w:textDirection w:val="btLr"/>
                </w:tcPr>
                <w:p w:rsidR="00A24468" w:rsidRPr="00710B86" w:rsidRDefault="00A24468" w:rsidP="00FF134F">
                  <w:pPr>
                    <w:contextualSpacing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638" w:type="dxa"/>
                  <w:shd w:val="clear" w:color="auto" w:fill="auto"/>
                  <w:textDirection w:val="btLr"/>
                  <w:hideMark/>
                </w:tcPr>
                <w:p w:rsidR="00A24468" w:rsidRPr="00710B86" w:rsidRDefault="00A24468" w:rsidP="00FF134F">
                  <w:pPr>
                    <w:contextualSpacing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  <w:textDirection w:val="btLr"/>
                  <w:hideMark/>
                </w:tcPr>
                <w:p w:rsidR="00A24468" w:rsidRPr="00710B86" w:rsidRDefault="00A24468" w:rsidP="00FF134F">
                  <w:pPr>
                    <w:contextualSpacing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785" w:type="dxa"/>
                  <w:shd w:val="clear" w:color="auto" w:fill="auto"/>
                  <w:textDirection w:val="btLr"/>
                  <w:hideMark/>
                </w:tcPr>
                <w:p w:rsidR="00A24468" w:rsidRPr="00710B86" w:rsidRDefault="00A24468" w:rsidP="00FF134F">
                  <w:pPr>
                    <w:contextualSpacing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FF134F" w:rsidRPr="00710B86" w:rsidTr="00CB5AF0">
              <w:trPr>
                <w:cantSplit/>
                <w:trHeight w:val="1919"/>
              </w:trPr>
              <w:tc>
                <w:tcPr>
                  <w:tcW w:w="991" w:type="dxa"/>
                  <w:shd w:val="clear" w:color="auto" w:fill="auto"/>
                  <w:textDirection w:val="btLr"/>
                  <w:hideMark/>
                </w:tcPr>
                <w:p w:rsidR="00CB5AF0" w:rsidRPr="00710B86" w:rsidRDefault="00CB5AF0" w:rsidP="00FF134F">
                  <w:pPr>
                    <w:contextualSpacing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r w:rsidRPr="00710B86">
                    <w:rPr>
                      <w:color w:val="000000" w:themeColor="text1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21 407 174,83868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  <w:t>3485842,50000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  <w:t>6271485,90000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  <w:t>3924008,40468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  <w:t>3127380,90000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  <w:t>3551983,73400</w:t>
                  </w:r>
                </w:p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  <w:t>190</w:t>
                  </w:r>
                  <w:bookmarkStart w:id="0" w:name="_GoBack"/>
                  <w:bookmarkEnd w:id="0"/>
                  <w:r w:rsidRPr="00710B86"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  <w:t>983,00000</w:t>
                  </w: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  <w:t>11145,00000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  <w:t>11145,00000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  <w:t>808121,70000</w:t>
                  </w:r>
                </w:p>
              </w:tc>
              <w:tc>
                <w:tcPr>
                  <w:tcW w:w="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  <w:t>25078,70000</w:t>
                  </w:r>
                </w:p>
              </w:tc>
            </w:tr>
            <w:tr w:rsidR="00FF134F" w:rsidRPr="00710B86" w:rsidTr="00CB5AF0">
              <w:trPr>
                <w:cantSplit/>
                <w:trHeight w:val="2004"/>
              </w:trPr>
              <w:tc>
                <w:tcPr>
                  <w:tcW w:w="991" w:type="dxa"/>
                  <w:shd w:val="clear" w:color="auto" w:fill="auto"/>
                  <w:textDirection w:val="btLr"/>
                  <w:hideMark/>
                </w:tcPr>
                <w:p w:rsidR="00CB5AF0" w:rsidRPr="00710B86" w:rsidRDefault="00CB5AF0" w:rsidP="00FF134F">
                  <w:pPr>
                    <w:contextualSpacing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r w:rsidRPr="00710B86">
                    <w:rPr>
                      <w:color w:val="000000" w:themeColor="text1"/>
                      <w:sz w:val="24"/>
                      <w:szCs w:val="24"/>
                    </w:rPr>
                    <w:t>бюджет Республики Крым</w:t>
                  </w:r>
                </w:p>
              </w:tc>
              <w:tc>
                <w:tcPr>
                  <w:tcW w:w="742" w:type="dxa"/>
                  <w:tcBorders>
                    <w:bottom w:val="nil"/>
                  </w:tcBorders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250419609,39918</w:t>
                  </w:r>
                </w:p>
              </w:tc>
              <w:tc>
                <w:tcPr>
                  <w:tcW w:w="534" w:type="dxa"/>
                  <w:tcBorders>
                    <w:bottom w:val="nil"/>
                  </w:tcBorders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  <w:t>21953820,06800</w:t>
                  </w:r>
                </w:p>
              </w:tc>
              <w:tc>
                <w:tcPr>
                  <w:tcW w:w="567" w:type="dxa"/>
                  <w:tcBorders>
                    <w:bottom w:val="nil"/>
                  </w:tcBorders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  <w:t>22395422,68766</w:t>
                  </w:r>
                </w:p>
              </w:tc>
              <w:tc>
                <w:tcPr>
                  <w:tcW w:w="498" w:type="dxa"/>
                  <w:tcBorders>
                    <w:bottom w:val="nil"/>
                  </w:tcBorders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  <w:t>25947202,48065</w:t>
                  </w:r>
                </w:p>
              </w:tc>
              <w:tc>
                <w:tcPr>
                  <w:tcW w:w="570" w:type="dxa"/>
                  <w:tcBorders>
                    <w:bottom w:val="nil"/>
                  </w:tcBorders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  <w:t>26989560,81393</w:t>
                  </w:r>
                </w:p>
              </w:tc>
              <w:tc>
                <w:tcPr>
                  <w:tcW w:w="570" w:type="dxa"/>
                  <w:tcBorders>
                    <w:bottom w:val="nil"/>
                  </w:tcBorders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  <w:t>26988775,84924</w:t>
                  </w:r>
                </w:p>
                <w:p w:rsidR="00CB5AF0" w:rsidRPr="00710B86" w:rsidRDefault="00CB5AF0" w:rsidP="00FF134F">
                  <w:pPr>
                    <w:jc w:val="center"/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2" w:type="dxa"/>
                  <w:tcBorders>
                    <w:bottom w:val="nil"/>
                  </w:tcBorders>
                  <w:textDirection w:val="btLr"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  <w:t>26061143,76362</w:t>
                  </w:r>
                </w:p>
              </w:tc>
              <w:tc>
                <w:tcPr>
                  <w:tcW w:w="492" w:type="dxa"/>
                  <w:tcBorders>
                    <w:bottom w:val="nil"/>
                  </w:tcBorders>
                  <w:textDirection w:val="btLr"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  <w:t>26053356,10581</w:t>
                  </w:r>
                </w:p>
              </w:tc>
              <w:tc>
                <w:tcPr>
                  <w:tcW w:w="638" w:type="dxa"/>
                  <w:tcBorders>
                    <w:bottom w:val="nil"/>
                  </w:tcBorders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  <w:t>26053373,32027</w:t>
                  </w:r>
                </w:p>
              </w:tc>
              <w:tc>
                <w:tcPr>
                  <w:tcW w:w="567" w:type="dxa"/>
                  <w:tcBorders>
                    <w:bottom w:val="nil"/>
                  </w:tcBorders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  <w:t>24009085,65500</w:t>
                  </w:r>
                </w:p>
              </w:tc>
              <w:tc>
                <w:tcPr>
                  <w:tcW w:w="785" w:type="dxa"/>
                  <w:tcBorders>
                    <w:bottom w:val="nil"/>
                  </w:tcBorders>
                  <w:textDirection w:val="btLr"/>
                  <w:hideMark/>
                </w:tcPr>
                <w:p w:rsidR="00CB5AF0" w:rsidRPr="00710B86" w:rsidRDefault="00CB5AF0" w:rsidP="00FF134F">
                  <w:pPr>
                    <w:jc w:val="right"/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710B86">
                    <w:rPr>
                      <w:rFonts w:eastAsia="Times New Roman"/>
                      <w:color w:val="000000" w:themeColor="text1"/>
                      <w:sz w:val="24"/>
                      <w:szCs w:val="24"/>
                      <w:lang w:eastAsia="ru-RU"/>
                    </w:rPr>
                    <w:t>23967868,65500</w:t>
                  </w:r>
                </w:p>
              </w:tc>
            </w:tr>
          </w:tbl>
          <w:p w:rsidR="00A24468" w:rsidRPr="00FF134F" w:rsidRDefault="00A24468" w:rsidP="00A24468">
            <w:pPr>
              <w:contextualSpacing/>
              <w:jc w:val="both"/>
              <w:rPr>
                <w:rFonts w:eastAsia="Calibri"/>
                <w:color w:val="000000" w:themeColor="text1"/>
              </w:rPr>
            </w:pPr>
            <w:r w:rsidRPr="00FF134F">
              <w:rPr>
                <w:rFonts w:eastAsia="Calibri"/>
                <w:color w:val="000000" w:themeColor="text1"/>
              </w:rPr>
              <w:t>-------------------------------------</w:t>
            </w:r>
          </w:p>
          <w:p w:rsidR="008A6D7F" w:rsidRPr="00FF134F" w:rsidRDefault="00A24468" w:rsidP="00A2446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     Источниками финансирования Программы являются: бюджет Республики Крым, федеральный бюджет (по согласованию). Объем финансирования Программы за счет средств бюджета Республики Крым ежегодно уточняется в соответствии с законом Республики Крым о бюджете Республики Крым на соответствующий финансовый год и плановый период. Предусматривается финансирование и через выделение целевых субсидий и иных межбюджетных трансфертов из федерального бюджета бюджету Республики Крым</w:t>
            </w:r>
          </w:p>
        </w:tc>
      </w:tr>
      <w:tr w:rsidR="00FF134F" w:rsidRPr="00FF134F" w:rsidTr="00FF134F">
        <w:trPr>
          <w:trHeight w:val="3019"/>
        </w:trPr>
        <w:tc>
          <w:tcPr>
            <w:tcW w:w="2202" w:type="dxa"/>
          </w:tcPr>
          <w:p w:rsidR="00A24468" w:rsidRPr="00FF134F" w:rsidRDefault="00A2446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Ожидаемые результаты реализации Программы:</w:t>
            </w:r>
          </w:p>
        </w:tc>
        <w:tc>
          <w:tcPr>
            <w:tcW w:w="8363" w:type="dxa"/>
          </w:tcPr>
          <w:p w:rsidR="00A24468" w:rsidRPr="00FF134F" w:rsidRDefault="00A24468" w:rsidP="00A2446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создание современной материально-технической и учебно-методической базы образовательных организаций для обеспечения соответствия образовательного процесса требованиям федеральных государственных образовательных стандартов, улучшения качества образовательных услуг, условий для увеличения охвата детей услугами дополнительного образования детей;</w:t>
            </w:r>
          </w:p>
          <w:p w:rsidR="00A24468" w:rsidRPr="00FF134F" w:rsidRDefault="00A24468" w:rsidP="00A2446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создание в Республике Крым новых мест в общеобразовательных организациях (исходя из прогнозируемой потребности);</w:t>
            </w:r>
          </w:p>
          <w:p w:rsidR="00A24468" w:rsidRPr="00FF134F" w:rsidRDefault="00A24468" w:rsidP="00A2446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13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создание условий для предоставления детям-инвалидам с учетом особенностей их психофизического развития равного доступа к качественному образованию;</w:t>
            </w:r>
          </w:p>
          <w:p w:rsidR="00A24468" w:rsidRPr="00FF134F" w:rsidRDefault="00A24468" w:rsidP="00A24468">
            <w:pPr>
              <w:contextualSpacing/>
              <w:jc w:val="both"/>
              <w:rPr>
                <w:color w:val="000000" w:themeColor="text1"/>
              </w:rPr>
            </w:pPr>
            <w:r w:rsidRPr="00FF134F">
              <w:rPr>
                <w:color w:val="000000" w:themeColor="text1"/>
              </w:rPr>
              <w:t>- развитие профессиональной образовательной траектории молодежи в современных социально-экономических условиях</w:t>
            </w:r>
          </w:p>
        </w:tc>
      </w:tr>
    </w:tbl>
    <w:p w:rsidR="00F5025D" w:rsidRPr="00FF134F" w:rsidRDefault="00F5025D"/>
    <w:sectPr w:rsidR="00F5025D" w:rsidRPr="00FF134F" w:rsidSect="005C6E1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4E1"/>
    <w:rsid w:val="001104E1"/>
    <w:rsid w:val="005C6E17"/>
    <w:rsid w:val="00710B86"/>
    <w:rsid w:val="008A6D7F"/>
    <w:rsid w:val="008A7D54"/>
    <w:rsid w:val="00A24468"/>
    <w:rsid w:val="00CB5AF0"/>
    <w:rsid w:val="00F5025D"/>
    <w:rsid w:val="00FC304C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468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04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04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468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04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04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B01FCC14AF5E50BC7D73CCF7216D63FAC30DBD52A29727A5C7984D189DC30B74B2381985E2327BD417840D705E59BCB2D10F6AB68FB11EF5TAL5G" TargetMode="External"/><Relationship Id="rId13" Type="http://schemas.openxmlformats.org/officeDocument/2006/relationships/hyperlink" Target="consultantplus://offline/ref=28B01FCC14AF5E50BC7D6DC1E14D366EF0CC51B550A89872FC98C3104F94C95C33FD615BC1EF3078D81CDB08654F01B3B1CE1163A193B31CTFL7G" TargetMode="External"/><Relationship Id="rId18" Type="http://schemas.openxmlformats.org/officeDocument/2006/relationships/hyperlink" Target="consultantplus://offline/ref=28B01FCC14AF5E50BC7D6DC1E14D366EF0CD5AB151AE9872FC98C3104F94C95C33FD615BC3E9367BD643DE1D74170EB0AED01874BD91B1T1LE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28B01FCC14AF5E50BC7D73CCF7216D63FAC30DBD52A29727A5C7984D189DC30B74B2381985E23173D81E840D705E59BCB2D10F6AB68FB11EF5TAL5G" TargetMode="External"/><Relationship Id="rId12" Type="http://schemas.openxmlformats.org/officeDocument/2006/relationships/hyperlink" Target="consultantplus://offline/ref=28B01FCC14AF5E50BC7D6DC1E14D366EF0CE52B250A89872FC98C3104F94C95C33FD6158CABB613E881A8D583F1A05AFB2D013T6LAG" TargetMode="External"/><Relationship Id="rId17" Type="http://schemas.openxmlformats.org/officeDocument/2006/relationships/hyperlink" Target="consultantplus://offline/ref=28B01FCC14AF5E50BC7D6DC1E14D366EF0CD5AB151AE9872FC98C3104F94C95C33FD615BC3E9367BD643DE1D74170EB0AED01874BD91B1T1LE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8B01FCC14AF5E50BC7D6DC1E14D366EF0CD5AB151AE9872FC98C3104F94C95C33FD615BC3E9367BD643DE1D74170EB0AED01874BD91B1T1LE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8B01FCC14AF5E50BC7D73CCF7216D63FAC30DBD52A29727A5C7984D189DC30B74B2381985E2317CD41E840D705E59BCB2D10F6AB68FB11EF5TAL5G" TargetMode="External"/><Relationship Id="rId11" Type="http://schemas.openxmlformats.org/officeDocument/2006/relationships/hyperlink" Target="consultantplus://offline/ref=28B01FCC14AF5E50BC7D6DC1E14D366EF0CD5AB151AE9872FC98C3104F94C95C33FD615BC3E9367BD643DE1D74170EB0AED01874BD91B1T1LEG" TargetMode="External"/><Relationship Id="rId5" Type="http://schemas.openxmlformats.org/officeDocument/2006/relationships/hyperlink" Target="consultantplus://offline/ref=28B01FCC14AF5E50BC7D73CCF7216D63FAC30DBD52A29727A5C7984D189DC30B74B2381985E23179DB14840D705E59BCB2D10F6AB68FB11EF5TAL5G" TargetMode="External"/><Relationship Id="rId15" Type="http://schemas.openxmlformats.org/officeDocument/2006/relationships/hyperlink" Target="consultantplus://offline/ref=28B01FCC14AF5E50BC7D6DC1E14D366EF0C954B35FA39872FC98C3104F94C95C21FD3957C3EE2E7AD4098D5923T1LAG" TargetMode="External"/><Relationship Id="rId10" Type="http://schemas.openxmlformats.org/officeDocument/2006/relationships/hyperlink" Target="consultantplus://offline/ref=28B01FCC14AF5E50BC7D6DC1E14D366EF0CD5AB952A39872FC98C3104F94C95C33FD615BC1EF307BD41CDB08654F01B3B1CE1163A193B31CTFL7G" TargetMode="External"/><Relationship Id="rId19" Type="http://schemas.openxmlformats.org/officeDocument/2006/relationships/hyperlink" Target="consultantplus://offline/ref=28B01FCC14AF5E50BC7D6DC1E14D366EF0CD5AB151AE9872FC98C3104F94C95C33FD615BC3E9367BD643DE1D74170EB0AED01874BD91B1T1L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8B01FCC14AF5E50BC7D73CCF7216D63FAC30DBD52A29727A5C7984D189DC30B74B2381985E2327EDD17840D705E59BCB2D10F6AB68FB11EF5TAL5G" TargetMode="External"/><Relationship Id="rId14" Type="http://schemas.openxmlformats.org/officeDocument/2006/relationships/hyperlink" Target="consultantplus://offline/ref=28B01FCC14AF5E50BC7D6DC1E14D366EF0C95AB357A39872FC98C3104F94C95C21FD3957C3EE2E7AD4098D5923T1L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3909</Words>
  <Characters>22282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region4</cp:lastModifiedBy>
  <cp:revision>3</cp:revision>
  <dcterms:created xsi:type="dcterms:W3CDTF">2020-09-21T13:28:00Z</dcterms:created>
  <dcterms:modified xsi:type="dcterms:W3CDTF">2020-09-22T11:38:00Z</dcterms:modified>
</cp:coreProperties>
</file>